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B" w:rsidRPr="00C021B5" w:rsidRDefault="00754DCB" w:rsidP="00754DCB">
      <w:pPr>
        <w:jc w:val="center"/>
        <w:rPr>
          <w:rFonts w:ascii="方正小标宋简体" w:eastAsia="方正小标宋简体" w:hAnsi="Calibri" w:cs="Times New Roman"/>
          <w:color w:val="FF0000"/>
          <w:spacing w:val="-20"/>
          <w:w w:val="80"/>
          <w:sz w:val="130"/>
          <w:szCs w:val="130"/>
        </w:rPr>
      </w:pPr>
      <w:bookmarkStart w:id="0" w:name="_GoBack"/>
      <w:bookmarkEnd w:id="0"/>
      <w:r w:rsidRPr="00C021B5">
        <w:rPr>
          <w:rFonts w:ascii="方正小标宋简体" w:eastAsia="方正小标宋简体" w:hAnsi="Calibri" w:cs="Times New Roman" w:hint="eastAsia"/>
          <w:color w:val="FF0000"/>
          <w:spacing w:val="-20"/>
          <w:w w:val="80"/>
          <w:sz w:val="130"/>
          <w:szCs w:val="130"/>
        </w:rPr>
        <w:t>河南工程学院文件</w:t>
      </w:r>
    </w:p>
    <w:p w:rsidR="00EB33F2" w:rsidRPr="00EB33F2" w:rsidRDefault="00754DCB" w:rsidP="00EB33F2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noProof/>
          <w:sz w:val="32"/>
          <w:szCs w:val="32"/>
        </w:rPr>
        <w:pict>
          <v:polyline id="任意多边形 2" o:spid="_x0000_s205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4pt,32.05pt,450.6pt,31.7pt" coordsize="898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" strokecolor="red" strokeweight="1.5pt">
            <v:path arrowok="t" o:connecttype="custom" o:connectlocs="0,4445;5704840,0" o:connectangles="0,0"/>
          </v:polyline>
        </w:pict>
      </w:r>
      <w:r w:rsidR="00EB33F2" w:rsidRPr="00EB33F2">
        <w:rPr>
          <w:rFonts w:ascii="仿宋_GB2312" w:eastAsia="仿宋_GB2312" w:hAnsi="黑体" w:cs="Times New Roman" w:hint="eastAsia"/>
          <w:sz w:val="32"/>
          <w:szCs w:val="32"/>
        </w:rPr>
        <w:t>河工院教〔2019〕21号</w:t>
      </w:r>
    </w:p>
    <w:p w:rsidR="00EB33F2" w:rsidRDefault="00EB33F2" w:rsidP="005822D0">
      <w:pPr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p w:rsidR="005822D0" w:rsidRPr="00EB33F2" w:rsidRDefault="005822D0" w:rsidP="005822D0">
      <w:pPr>
        <w:jc w:val="center"/>
        <w:rPr>
          <w:rFonts w:ascii="方正小标宋简体" w:eastAsia="方正小标宋简体" w:hAnsi="黑体" w:cs="Times New Roman"/>
          <w:spacing w:val="-20"/>
          <w:sz w:val="36"/>
          <w:szCs w:val="36"/>
        </w:rPr>
      </w:pPr>
      <w:r w:rsidRPr="00EB33F2">
        <w:rPr>
          <w:rFonts w:ascii="方正小标宋简体" w:eastAsia="方正小标宋简体" w:hAnsi="黑体" w:cs="Times New Roman" w:hint="eastAsia"/>
          <w:spacing w:val="-20"/>
          <w:sz w:val="36"/>
          <w:szCs w:val="36"/>
        </w:rPr>
        <w:t>河南工程学院</w:t>
      </w:r>
    </w:p>
    <w:p w:rsidR="00E738DA" w:rsidRDefault="005822D0" w:rsidP="005822D0">
      <w:pPr>
        <w:jc w:val="center"/>
        <w:rPr>
          <w:rFonts w:ascii="方正小标宋简体" w:eastAsia="方正小标宋简体" w:hAnsi="黑体" w:cs="Times New Roman"/>
          <w:spacing w:val="-20"/>
          <w:sz w:val="36"/>
          <w:szCs w:val="36"/>
        </w:rPr>
      </w:pPr>
      <w:r w:rsidRPr="00EB33F2">
        <w:rPr>
          <w:rFonts w:ascii="方正小标宋简体" w:eastAsia="方正小标宋简体" w:hAnsi="黑体" w:cs="Times New Roman" w:hint="eastAsia"/>
          <w:spacing w:val="-20"/>
          <w:sz w:val="36"/>
          <w:szCs w:val="36"/>
        </w:rPr>
        <w:t>关于</w:t>
      </w:r>
      <w:r w:rsidR="008127F1" w:rsidRPr="00EB33F2">
        <w:rPr>
          <w:rFonts w:ascii="方正小标宋简体" w:eastAsia="方正小标宋简体" w:hAnsi="黑体" w:cs="Times New Roman" w:hint="eastAsia"/>
          <w:spacing w:val="-20"/>
          <w:sz w:val="36"/>
          <w:szCs w:val="36"/>
        </w:rPr>
        <w:t>立项建设</w:t>
      </w:r>
      <w:r w:rsidRPr="00EB33F2">
        <w:rPr>
          <w:rFonts w:ascii="方正小标宋简体" w:eastAsia="方正小标宋简体" w:hAnsi="Times New Roman" w:cs="Times New Roman" w:hint="eastAsia"/>
          <w:spacing w:val="-20"/>
          <w:sz w:val="36"/>
          <w:szCs w:val="36"/>
        </w:rPr>
        <w:t>2018</w:t>
      </w:r>
      <w:r w:rsidRPr="00EB33F2">
        <w:rPr>
          <w:rFonts w:ascii="方正小标宋简体" w:eastAsia="方正小标宋简体" w:hAnsi="黑体" w:cs="Times New Roman" w:hint="eastAsia"/>
          <w:spacing w:val="-20"/>
          <w:sz w:val="36"/>
          <w:szCs w:val="36"/>
        </w:rPr>
        <w:t>年度校级精品在线开放课程的通知</w:t>
      </w:r>
    </w:p>
    <w:p w:rsidR="00EB33F2" w:rsidRPr="00EB33F2" w:rsidRDefault="00EB33F2" w:rsidP="005822D0">
      <w:pPr>
        <w:jc w:val="center"/>
        <w:rPr>
          <w:rFonts w:ascii="方正小标宋简体" w:eastAsia="方正小标宋简体" w:hAnsi="黑体" w:cs="Times New Roman"/>
          <w:spacing w:val="-20"/>
          <w:sz w:val="32"/>
          <w:szCs w:val="32"/>
        </w:rPr>
      </w:pPr>
    </w:p>
    <w:p w:rsidR="005822D0" w:rsidRPr="00EB33F2" w:rsidRDefault="00EB33F2" w:rsidP="00EB33F2">
      <w:pPr>
        <w:spacing w:line="58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EB33F2">
        <w:rPr>
          <w:rFonts w:ascii="仿宋_GB2312" w:eastAsia="仿宋_GB2312" w:hAnsi="黑体" w:cs="Times New Roman" w:hint="eastAsia"/>
          <w:sz w:val="32"/>
          <w:szCs w:val="32"/>
        </w:rPr>
        <w:t>校属各部门、各单位：</w:t>
      </w:r>
    </w:p>
    <w:p w:rsidR="00762230" w:rsidRPr="00EB33F2" w:rsidRDefault="00E738DA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 w:rsidRPr="00EB33F2">
        <w:rPr>
          <w:rFonts w:ascii="仿宋_GB2312" w:eastAsia="仿宋_GB2312" w:hAnsi="Verdana" w:cs="Times New Roman" w:hint="eastAsia"/>
          <w:sz w:val="32"/>
          <w:szCs w:val="32"/>
        </w:rPr>
        <w:t>根据《河南工程学院2018年精品在线开放课程建设工作方案》（河工院教</w:t>
      </w:r>
      <w:r w:rsidR="00EB33F2" w:rsidRPr="00EB33F2">
        <w:rPr>
          <w:rFonts w:ascii="仿宋_GB2312" w:eastAsia="仿宋_GB2312" w:hAnsi="黑体" w:cs="Times New Roman" w:hint="eastAsia"/>
          <w:sz w:val="32"/>
          <w:szCs w:val="32"/>
        </w:rPr>
        <w:t>〔2018〕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187号）文件要求，经各学院</w:t>
      </w:r>
      <w:r w:rsidR="00762230" w:rsidRPr="00EB33F2">
        <w:rPr>
          <w:rFonts w:ascii="仿宋_GB2312" w:eastAsia="仿宋_GB2312" w:hAnsi="Verdana" w:cs="Times New Roman" w:hint="eastAsia"/>
          <w:sz w:val="32"/>
          <w:szCs w:val="32"/>
        </w:rPr>
        <w:t>申报、教务处初审、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学校组织专家评审</w:t>
      </w:r>
      <w:r w:rsidR="00F311CA">
        <w:rPr>
          <w:rFonts w:ascii="仿宋_GB2312" w:eastAsia="仿宋_GB2312" w:hAnsi="Verdana" w:cs="Times New Roman" w:hint="eastAsia"/>
          <w:sz w:val="32"/>
          <w:szCs w:val="32"/>
        </w:rPr>
        <w:t>和</w:t>
      </w:r>
      <w:r w:rsidR="00762230" w:rsidRPr="00EB33F2">
        <w:rPr>
          <w:rFonts w:ascii="仿宋_GB2312" w:eastAsia="仿宋_GB2312" w:hAnsi="Verdana" w:cs="Times New Roman" w:hint="eastAsia"/>
          <w:sz w:val="32"/>
          <w:szCs w:val="32"/>
        </w:rPr>
        <w:t>校内公示，决定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立项建设纺织材料学等20门精品在线开放课程（</w:t>
      </w:r>
      <w:r w:rsidR="00762230" w:rsidRPr="00EB33F2">
        <w:rPr>
          <w:rFonts w:ascii="仿宋_GB2312" w:eastAsia="仿宋_GB2312" w:hAnsi="Verdana" w:cs="Times New Roman" w:hint="eastAsia"/>
          <w:sz w:val="32"/>
          <w:szCs w:val="32"/>
        </w:rPr>
        <w:t>名单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详见附件）。</w:t>
      </w:r>
    </w:p>
    <w:p w:rsidR="00E738DA" w:rsidRPr="00EB33F2" w:rsidRDefault="00762230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B33F2">
        <w:rPr>
          <w:rFonts w:ascii="仿宋_GB2312" w:eastAsia="仿宋_GB2312" w:hAnsi="Verdana" w:cs="Times New Roman" w:hint="eastAsia"/>
          <w:sz w:val="32"/>
          <w:szCs w:val="32"/>
        </w:rPr>
        <w:t>一、相关学院要切实承担起在线开放课程建设应用与管理的主体责任，加强管理，</w:t>
      </w:r>
      <w:r w:rsidRPr="00EB33F2">
        <w:rPr>
          <w:rFonts w:ascii="仿宋_GB2312" w:eastAsia="仿宋_GB2312" w:hAnsi="Times New Roman" w:cs="Times New Roman" w:hint="eastAsia"/>
          <w:sz w:val="32"/>
          <w:szCs w:val="32"/>
        </w:rPr>
        <w:t>积极采用多种方式，做好在线开放课程的运行、维护、更新和监督，促进优质教学资源应用与共享。</w:t>
      </w:r>
    </w:p>
    <w:p w:rsidR="00762230" w:rsidRPr="00EB33F2" w:rsidRDefault="00762230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 w:rsidRPr="00EB33F2">
        <w:rPr>
          <w:rFonts w:ascii="仿宋_GB2312" w:eastAsia="仿宋_GB2312" w:hAnsi="Times New Roman" w:cs="Times New Roman" w:hint="eastAsia"/>
          <w:sz w:val="32"/>
          <w:szCs w:val="32"/>
        </w:rPr>
        <w:t>二、各课程建设团队要按照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《河南工程学院2018年精品在线开放课程建设工作方案》（河工院教</w:t>
      </w:r>
      <w:r w:rsidR="00EB33F2" w:rsidRPr="00EB33F2">
        <w:rPr>
          <w:rFonts w:ascii="仿宋_GB2312" w:eastAsia="仿宋_GB2312" w:hAnsi="黑体" w:cs="Times New Roman" w:hint="eastAsia"/>
          <w:sz w:val="32"/>
          <w:szCs w:val="32"/>
        </w:rPr>
        <w:t>〔2018〕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187号）文件要求，及时上线运行，定期更新课程内容，认真辅导答疑，加强信息安全及知识产权保障，做好线上线下服务工作。</w:t>
      </w:r>
    </w:p>
    <w:p w:rsidR="006C5EFB" w:rsidRPr="00EB33F2" w:rsidRDefault="006C5EFB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 w:rsidRPr="00EB33F2">
        <w:rPr>
          <w:rFonts w:ascii="仿宋_GB2312" w:eastAsia="仿宋_GB2312" w:hAnsi="Verdana" w:cs="Times New Roman" w:hint="eastAsia"/>
          <w:sz w:val="32"/>
          <w:szCs w:val="32"/>
        </w:rPr>
        <w:lastRenderedPageBreak/>
        <w:t>三、各学院要依托在线开放课程，积极探索开展翻转课堂、启发式教学、混合式教学等课堂教学改革，推动信息技术与教育教学深度融合，创新教育教学模式，不断提高教师的信息素养和学生的综合能力，持续提高课堂教学水平和人才培养质量。</w:t>
      </w:r>
    </w:p>
    <w:p w:rsidR="00257CF2" w:rsidRPr="00EB33F2" w:rsidRDefault="00257CF2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</w:p>
    <w:p w:rsidR="006C5EFB" w:rsidRPr="00EB33F2" w:rsidRDefault="006C5EFB" w:rsidP="00EB33F2">
      <w:pPr>
        <w:adjustRightInd w:val="0"/>
        <w:snapToGrid w:val="0"/>
        <w:spacing w:line="580" w:lineRule="exact"/>
        <w:ind w:leftChars="300" w:left="1590" w:hangingChars="300" w:hanging="960"/>
        <w:rPr>
          <w:rFonts w:ascii="仿宋_GB2312" w:eastAsia="仿宋_GB2312" w:hAnsi="Verdana" w:cs="Times New Roman"/>
          <w:sz w:val="32"/>
          <w:szCs w:val="32"/>
        </w:rPr>
      </w:pPr>
      <w:r w:rsidRPr="00EB33F2">
        <w:rPr>
          <w:rFonts w:ascii="仿宋_GB2312" w:eastAsia="仿宋_GB2312" w:hAnsi="Verdana" w:cs="Times New Roman" w:hint="eastAsia"/>
          <w:sz w:val="32"/>
          <w:szCs w:val="32"/>
        </w:rPr>
        <w:t>附件：</w:t>
      </w:r>
      <w:r w:rsidR="00257CF2" w:rsidRPr="00EB33F2">
        <w:rPr>
          <w:rFonts w:ascii="仿宋_GB2312" w:eastAsia="仿宋_GB2312" w:hAnsi="Verdana" w:cs="Times New Roman" w:hint="eastAsia"/>
          <w:sz w:val="32"/>
          <w:szCs w:val="32"/>
        </w:rPr>
        <w:t>河南工程学院2018年度精品在线开放课程立项建设名单</w:t>
      </w:r>
    </w:p>
    <w:p w:rsidR="00257CF2" w:rsidRPr="00EB33F2" w:rsidRDefault="00257CF2" w:rsidP="00EB33F2">
      <w:pPr>
        <w:adjustRightInd w:val="0"/>
        <w:snapToGrid w:val="0"/>
        <w:spacing w:line="580" w:lineRule="exact"/>
        <w:rPr>
          <w:rFonts w:ascii="仿宋_GB2312" w:eastAsia="仿宋_GB2312" w:hAnsi="Verdana" w:cs="Times New Roman"/>
          <w:sz w:val="32"/>
          <w:szCs w:val="32"/>
        </w:rPr>
      </w:pPr>
    </w:p>
    <w:p w:rsidR="00762230" w:rsidRDefault="00762230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B33F2" w:rsidRPr="00EB33F2" w:rsidRDefault="00EB33F2" w:rsidP="00EB33F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57CF2" w:rsidRPr="00EB33F2" w:rsidRDefault="00EB33F2" w:rsidP="00EB33F2">
      <w:pPr>
        <w:adjustRightInd w:val="0"/>
        <w:snapToGrid w:val="0"/>
        <w:spacing w:line="580" w:lineRule="exact"/>
        <w:ind w:firstLineChars="1900" w:firstLine="60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Verdana" w:cs="Times New Roman" w:hint="eastAsia"/>
          <w:sz w:val="32"/>
          <w:szCs w:val="32"/>
        </w:rPr>
        <w:t>河南工程学院</w:t>
      </w:r>
    </w:p>
    <w:p w:rsidR="00E738DA" w:rsidRDefault="00257C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  <w:r w:rsidRPr="00EB33F2">
        <w:rPr>
          <w:rFonts w:ascii="仿宋_GB2312" w:eastAsia="仿宋_GB2312" w:hAnsi="Verdana" w:cs="Times New Roman"/>
          <w:sz w:val="32"/>
          <w:szCs w:val="32"/>
        </w:rPr>
        <w:t>201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8</w:t>
      </w:r>
      <w:r w:rsidRPr="00EB33F2">
        <w:rPr>
          <w:rFonts w:ascii="仿宋_GB2312" w:eastAsia="仿宋_GB2312" w:hAnsi="Verdana" w:cs="Times New Roman"/>
          <w:sz w:val="32"/>
          <w:szCs w:val="32"/>
        </w:rPr>
        <w:t xml:space="preserve">年 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12</w:t>
      </w:r>
      <w:r w:rsidRPr="00EB33F2">
        <w:rPr>
          <w:rFonts w:ascii="仿宋_GB2312" w:eastAsia="仿宋_GB2312" w:hAnsi="Verdana" w:cs="Times New Roman"/>
          <w:sz w:val="32"/>
          <w:szCs w:val="32"/>
        </w:rPr>
        <w:t>月</w:t>
      </w:r>
      <w:r w:rsidRPr="00EB33F2">
        <w:rPr>
          <w:rFonts w:ascii="仿宋_GB2312" w:eastAsia="仿宋_GB2312" w:hAnsi="Verdana" w:cs="Times New Roman" w:hint="eastAsia"/>
          <w:sz w:val="32"/>
          <w:szCs w:val="32"/>
        </w:rPr>
        <w:t>31</w:t>
      </w:r>
      <w:r w:rsidRPr="00EB33F2">
        <w:rPr>
          <w:rFonts w:ascii="仿宋_GB2312" w:eastAsia="仿宋_GB2312" w:hAnsi="Verdana" w:cs="Times New Roman"/>
          <w:sz w:val="32"/>
          <w:szCs w:val="32"/>
        </w:rPr>
        <w:t>日</w:t>
      </w: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Default="00EB33F2" w:rsidP="00EB33F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 w:hAnsi="Verdana" w:cs="Times New Roman"/>
          <w:sz w:val="32"/>
          <w:szCs w:val="32"/>
        </w:rPr>
      </w:pPr>
    </w:p>
    <w:p w:rsidR="00EB33F2" w:rsidRPr="00257CF2" w:rsidRDefault="00EB33F2" w:rsidP="00EB33F2">
      <w:pPr>
        <w:adjustRightInd w:val="0"/>
        <w:snapToGrid w:val="0"/>
        <w:spacing w:line="360" w:lineRule="auto"/>
        <w:ind w:firstLineChars="1800" w:firstLine="5040"/>
        <w:rPr>
          <w:rFonts w:ascii="Times New Roman" w:hAnsi="Verdana" w:cs="Times New Roman"/>
          <w:sz w:val="28"/>
          <w:szCs w:val="28"/>
        </w:rPr>
      </w:pPr>
    </w:p>
    <w:p w:rsidR="00E738DA" w:rsidRDefault="00257CF2" w:rsidP="00257CF2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F311CA">
        <w:rPr>
          <w:rFonts w:ascii="黑体" w:eastAsia="黑体" w:hAnsi="黑体" w:cs="Times New Roman" w:hint="eastAsia"/>
          <w:sz w:val="30"/>
          <w:szCs w:val="30"/>
        </w:rPr>
        <w:lastRenderedPageBreak/>
        <w:t>附件</w:t>
      </w:r>
    </w:p>
    <w:p w:rsidR="008127F1" w:rsidRPr="008127F1" w:rsidRDefault="008127F1" w:rsidP="008127F1">
      <w:pPr>
        <w:widowControl/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E738DA" w:rsidRDefault="00E738DA" w:rsidP="008127F1">
      <w:pPr>
        <w:spacing w:line="580" w:lineRule="exact"/>
        <w:jc w:val="center"/>
        <w:rPr>
          <w:rFonts w:ascii="方正小标宋简体" w:eastAsia="方正小标宋简体" w:hAnsi="Verdana" w:cs="Times New Roman"/>
          <w:sz w:val="32"/>
          <w:szCs w:val="32"/>
        </w:rPr>
      </w:pPr>
      <w:r w:rsidRPr="00F311CA">
        <w:rPr>
          <w:rFonts w:ascii="方正小标宋简体" w:eastAsia="方正小标宋简体" w:hAnsi="Verdana" w:cs="Times New Roman" w:hint="eastAsia"/>
          <w:sz w:val="32"/>
          <w:szCs w:val="32"/>
        </w:rPr>
        <w:t>河南工程学院2018年</w:t>
      </w:r>
      <w:r w:rsidR="006C5EFB" w:rsidRPr="00F311CA">
        <w:rPr>
          <w:rFonts w:ascii="方正小标宋简体" w:eastAsia="方正小标宋简体" w:hAnsi="Verdana" w:cs="Times New Roman" w:hint="eastAsia"/>
          <w:sz w:val="32"/>
          <w:szCs w:val="32"/>
        </w:rPr>
        <w:t>度</w:t>
      </w:r>
      <w:r w:rsidRPr="00F311CA">
        <w:rPr>
          <w:rFonts w:ascii="方正小标宋简体" w:eastAsia="方正小标宋简体" w:hAnsi="Verdana" w:cs="Times New Roman" w:hint="eastAsia"/>
          <w:sz w:val="32"/>
          <w:szCs w:val="32"/>
        </w:rPr>
        <w:t>精品在线开放课程立项</w:t>
      </w:r>
      <w:r w:rsidR="00257CF2" w:rsidRPr="00F311CA">
        <w:rPr>
          <w:rFonts w:ascii="方正小标宋简体" w:eastAsia="方正小标宋简体" w:hAnsi="Verdana" w:cs="Times New Roman" w:hint="eastAsia"/>
          <w:sz w:val="32"/>
          <w:szCs w:val="32"/>
        </w:rPr>
        <w:t>建设</w:t>
      </w:r>
      <w:r w:rsidRPr="00F311CA">
        <w:rPr>
          <w:rFonts w:ascii="方正小标宋简体" w:eastAsia="方正小标宋简体" w:hAnsi="Verdana" w:cs="Times New Roman" w:hint="eastAsia"/>
          <w:sz w:val="32"/>
          <w:szCs w:val="32"/>
        </w:rPr>
        <w:t>名单</w:t>
      </w:r>
    </w:p>
    <w:p w:rsidR="008127F1" w:rsidRPr="00F311CA" w:rsidRDefault="008127F1" w:rsidP="008127F1">
      <w:pPr>
        <w:spacing w:line="580" w:lineRule="exact"/>
        <w:jc w:val="center"/>
        <w:rPr>
          <w:rFonts w:ascii="方正小标宋简体" w:eastAsia="方正小标宋简体" w:hAnsi="Verdana" w:cs="Times New Roman"/>
          <w:sz w:val="32"/>
          <w:szCs w:val="32"/>
        </w:rPr>
      </w:pPr>
    </w:p>
    <w:tbl>
      <w:tblPr>
        <w:tblStyle w:val="a6"/>
        <w:tblW w:w="7905" w:type="dxa"/>
        <w:jc w:val="center"/>
        <w:tblLook w:val="04A0"/>
      </w:tblPr>
      <w:tblGrid>
        <w:gridCol w:w="821"/>
        <w:gridCol w:w="3256"/>
        <w:gridCol w:w="3828"/>
      </w:tblGrid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311CA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256" w:type="dxa"/>
            <w:vAlign w:val="center"/>
          </w:tcPr>
          <w:p w:rsidR="00E738DA" w:rsidRPr="00F311CA" w:rsidRDefault="00E738DA" w:rsidP="008127F1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311CA">
              <w:rPr>
                <w:rFonts w:ascii="黑体" w:eastAsia="黑体" w:hAnsi="黑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828" w:type="dxa"/>
            <w:vAlign w:val="center"/>
          </w:tcPr>
          <w:p w:rsidR="00E738DA" w:rsidRPr="00F311CA" w:rsidRDefault="00E738DA" w:rsidP="008127F1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311CA"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纺织学院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纺织材料学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2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马克思主义学院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tabs>
                <w:tab w:val="left" w:pos="1245"/>
              </w:tabs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筑梦新时代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3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经济贸易学院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茶文化与茶艺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4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tabs>
                <w:tab w:val="left" w:pos="135"/>
              </w:tabs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材料与化学工程学院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数码照片处理与应用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5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电气信息工程学院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电子技术操作与工艺实习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6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机械工程学院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计算机绘图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7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艺术设计学院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tabs>
                <w:tab w:val="left" w:pos="1290"/>
              </w:tabs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综合造型基础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8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工商管理学院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大学生职业准备8堂必修课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9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人文社会科学学院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应用文写作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10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理学院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复变函数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11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服装学院（行业学院）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一件衣服的诞生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12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服装学院（行业学院）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民间文化与服装设计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13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会计学院（行业学院）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税收理论与实务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14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会计学院（行业学院）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企业纳税筹划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15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资源与环境学院（行业学院）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水污染控制工程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16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资源与环境学院（行业学院）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环境工程微生物学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17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计算机学院（行业学院）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计算机科学与信息技术导论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18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土木工程学院（行业学院）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GNSS定位原理与应用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19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管理工程学院（行业学院）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电子商务概论</w:t>
            </w:r>
          </w:p>
        </w:tc>
      </w:tr>
      <w:tr w:rsidR="00E738DA" w:rsidTr="008127F1">
        <w:trPr>
          <w:trHeight w:val="340"/>
          <w:jc w:val="center"/>
        </w:trPr>
        <w:tc>
          <w:tcPr>
            <w:tcW w:w="821" w:type="dxa"/>
            <w:vAlign w:val="center"/>
          </w:tcPr>
          <w:p w:rsidR="00E738DA" w:rsidRPr="00F311CA" w:rsidRDefault="00E738DA" w:rsidP="00F311CA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F311CA">
              <w:rPr>
                <w:rFonts w:ascii="黑体" w:eastAsia="黑体" w:hAnsi="黑体" w:cs="Times New Roman" w:hint="eastAsia"/>
                <w:szCs w:val="21"/>
              </w:rPr>
              <w:t>20</w:t>
            </w:r>
          </w:p>
        </w:tc>
        <w:tc>
          <w:tcPr>
            <w:tcW w:w="3256" w:type="dxa"/>
            <w:vAlign w:val="center"/>
          </w:tcPr>
          <w:p w:rsidR="00E738DA" w:rsidRPr="008127F1" w:rsidRDefault="00E738DA" w:rsidP="008127F1">
            <w:pPr>
              <w:spacing w:line="360" w:lineRule="exact"/>
              <w:jc w:val="lef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管理工程学院（行业学院）</w:t>
            </w:r>
          </w:p>
        </w:tc>
        <w:tc>
          <w:tcPr>
            <w:tcW w:w="3828" w:type="dxa"/>
            <w:vAlign w:val="center"/>
          </w:tcPr>
          <w:p w:rsidR="00E738DA" w:rsidRPr="008127F1" w:rsidRDefault="00E738DA" w:rsidP="008127F1">
            <w:pPr>
              <w:spacing w:line="360" w:lineRule="exact"/>
              <w:rPr>
                <w:rFonts w:ascii="楷体_GB2312" w:eastAsia="楷体_GB2312" w:hAnsi="Verdana" w:cs="Times New Roman"/>
                <w:sz w:val="24"/>
                <w:szCs w:val="24"/>
              </w:rPr>
            </w:pPr>
            <w:r w:rsidRPr="008127F1">
              <w:rPr>
                <w:rFonts w:ascii="楷体_GB2312" w:eastAsia="楷体_GB2312" w:hAnsi="Verdana" w:cs="Times New Roman" w:hint="eastAsia"/>
                <w:sz w:val="24"/>
                <w:szCs w:val="24"/>
              </w:rPr>
              <w:t>网络营销</w:t>
            </w:r>
          </w:p>
        </w:tc>
      </w:tr>
    </w:tbl>
    <w:p w:rsidR="00E738DA" w:rsidRPr="00011683" w:rsidRDefault="00E738DA" w:rsidP="00E738DA"/>
    <w:p w:rsidR="001F3DE2" w:rsidRDefault="001F3DE2"/>
    <w:sectPr w:rsidR="001F3DE2" w:rsidSect="00812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DC" w:rsidRDefault="00767BDC" w:rsidP="00E738DA">
      <w:r>
        <w:separator/>
      </w:r>
    </w:p>
  </w:endnote>
  <w:endnote w:type="continuationSeparator" w:id="0">
    <w:p w:rsidR="00767BDC" w:rsidRDefault="00767BDC" w:rsidP="00E7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Pr="0031777A" w:rsidRDefault="008127F1" w:rsidP="008127F1">
    <w:pPr>
      <w:tabs>
        <w:tab w:val="center" w:pos="4153"/>
        <w:tab w:val="right" w:pos="8306"/>
      </w:tabs>
      <w:snapToGrid w:val="0"/>
      <w:jc w:val="left"/>
      <w:rPr>
        <w:rStyle w:val="a8"/>
        <w:sz w:val="18"/>
        <w:szCs w:val="18"/>
      </w:rPr>
    </w:pPr>
    <w:r w:rsidRPr="004934CF">
      <w:rPr>
        <w:sz w:val="28"/>
        <w:szCs w:val="28"/>
      </w:rPr>
      <w:t>—</w:t>
    </w:r>
    <w:r>
      <w:rPr>
        <w:sz w:val="28"/>
        <w:szCs w:val="28"/>
      </w:rPr>
      <w:t xml:space="preserve"> </w:t>
    </w:r>
    <w:r w:rsidR="000029E7" w:rsidRPr="004934CF">
      <w:rPr>
        <w:sz w:val="28"/>
        <w:szCs w:val="28"/>
      </w:rPr>
      <w:fldChar w:fldCharType="begin"/>
    </w:r>
    <w:r w:rsidRPr="004934CF">
      <w:rPr>
        <w:sz w:val="28"/>
        <w:szCs w:val="28"/>
      </w:rPr>
      <w:instrText xml:space="preserve"> PAGE   \* MERGEFORMAT </w:instrText>
    </w:r>
    <w:r w:rsidR="000029E7" w:rsidRPr="004934CF">
      <w:rPr>
        <w:sz w:val="28"/>
        <w:szCs w:val="28"/>
      </w:rPr>
      <w:fldChar w:fldCharType="separate"/>
    </w:r>
    <w:r w:rsidR="00754DCB" w:rsidRPr="00754DCB">
      <w:rPr>
        <w:noProof/>
        <w:sz w:val="28"/>
        <w:szCs w:val="28"/>
        <w:lang w:val="zh-CN"/>
      </w:rPr>
      <w:t>2</w:t>
    </w:r>
    <w:r w:rsidR="000029E7" w:rsidRPr="004934CF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4934CF">
      <w:rPr>
        <w:sz w:val="28"/>
        <w:szCs w:val="28"/>
      </w:rPr>
      <w:t>—</w:t>
    </w:r>
  </w:p>
  <w:p w:rsidR="008127F1" w:rsidRDefault="008127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Pr="0031777A" w:rsidRDefault="008127F1" w:rsidP="008127F1">
    <w:pPr>
      <w:tabs>
        <w:tab w:val="center" w:pos="4153"/>
        <w:tab w:val="right" w:pos="8306"/>
      </w:tabs>
      <w:snapToGrid w:val="0"/>
      <w:jc w:val="right"/>
      <w:rPr>
        <w:rStyle w:val="a8"/>
        <w:sz w:val="18"/>
        <w:szCs w:val="18"/>
      </w:rPr>
    </w:pPr>
    <w:r w:rsidRPr="004934CF">
      <w:rPr>
        <w:sz w:val="28"/>
        <w:szCs w:val="28"/>
      </w:rPr>
      <w:t>—</w:t>
    </w:r>
    <w:r>
      <w:rPr>
        <w:sz w:val="28"/>
        <w:szCs w:val="28"/>
      </w:rPr>
      <w:t xml:space="preserve"> </w:t>
    </w:r>
    <w:r w:rsidR="000029E7" w:rsidRPr="004934CF">
      <w:rPr>
        <w:sz w:val="28"/>
        <w:szCs w:val="28"/>
      </w:rPr>
      <w:fldChar w:fldCharType="begin"/>
    </w:r>
    <w:r w:rsidRPr="004934CF">
      <w:rPr>
        <w:sz w:val="28"/>
        <w:szCs w:val="28"/>
      </w:rPr>
      <w:instrText xml:space="preserve"> PAGE   \* MERGEFORMAT </w:instrText>
    </w:r>
    <w:r w:rsidR="000029E7" w:rsidRPr="004934CF">
      <w:rPr>
        <w:sz w:val="28"/>
        <w:szCs w:val="28"/>
      </w:rPr>
      <w:fldChar w:fldCharType="separate"/>
    </w:r>
    <w:r w:rsidR="00754DCB" w:rsidRPr="00754DCB">
      <w:rPr>
        <w:noProof/>
        <w:sz w:val="28"/>
        <w:szCs w:val="28"/>
        <w:lang w:val="zh-CN"/>
      </w:rPr>
      <w:t>1</w:t>
    </w:r>
    <w:r w:rsidR="000029E7" w:rsidRPr="004934CF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4934CF">
      <w:rPr>
        <w:sz w:val="28"/>
        <w:szCs w:val="28"/>
      </w:rPr>
      <w:t>—</w:t>
    </w:r>
  </w:p>
  <w:p w:rsidR="008127F1" w:rsidRDefault="008127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Default="008127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DC" w:rsidRDefault="00767BDC" w:rsidP="00E738DA">
      <w:r>
        <w:separator/>
      </w:r>
    </w:p>
  </w:footnote>
  <w:footnote w:type="continuationSeparator" w:id="0">
    <w:p w:rsidR="00767BDC" w:rsidRDefault="00767BDC" w:rsidP="00E73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Default="008127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Default="008127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F1" w:rsidRDefault="008127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8DA"/>
    <w:rsid w:val="000029E7"/>
    <w:rsid w:val="001F3DE2"/>
    <w:rsid w:val="00257CF2"/>
    <w:rsid w:val="00416BB7"/>
    <w:rsid w:val="005822D0"/>
    <w:rsid w:val="006C4965"/>
    <w:rsid w:val="006C5EFB"/>
    <w:rsid w:val="00732D30"/>
    <w:rsid w:val="00754DCB"/>
    <w:rsid w:val="00762230"/>
    <w:rsid w:val="00767BDC"/>
    <w:rsid w:val="00804F62"/>
    <w:rsid w:val="008127F1"/>
    <w:rsid w:val="00E738DA"/>
    <w:rsid w:val="00EB33F2"/>
    <w:rsid w:val="00F3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8DA"/>
    <w:rPr>
      <w:sz w:val="18"/>
      <w:szCs w:val="18"/>
    </w:rPr>
  </w:style>
  <w:style w:type="character" w:styleId="a5">
    <w:name w:val="Hyperlink"/>
    <w:basedOn w:val="a0"/>
    <w:uiPriority w:val="99"/>
    <w:unhideWhenUsed/>
    <w:rsid w:val="00E738D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B33F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33F2"/>
  </w:style>
  <w:style w:type="character" w:styleId="a8">
    <w:name w:val="page number"/>
    <w:basedOn w:val="a0"/>
    <w:uiPriority w:val="99"/>
    <w:rsid w:val="008127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2019-01-18T07:58:00Z</dcterms:created>
  <dcterms:modified xsi:type="dcterms:W3CDTF">2019-02-28T02:29:00Z</dcterms:modified>
</cp:coreProperties>
</file>